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83" w:rsidRPr="007A7383" w:rsidRDefault="007A7383" w:rsidP="008966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7383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7A7383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7A7383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7A73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7383">
        <w:rPr>
          <w:rFonts w:ascii="Times New Roman" w:hAnsi="Times New Roman" w:cs="Times New Roman"/>
          <w:b/>
          <w:iCs/>
          <w:sz w:val="24"/>
          <w:szCs w:val="24"/>
        </w:rPr>
        <w:t>The process of writing: What students don’t do and what teachers should do</w:t>
      </w:r>
      <w:r w:rsidRPr="007A7383">
        <w:rPr>
          <w:rFonts w:ascii="Times New Roman" w:hAnsi="Times New Roman" w:cs="Times New Roman"/>
          <w:b/>
          <w:sz w:val="24"/>
          <w:szCs w:val="24"/>
        </w:rPr>
        <w:t>.</w:t>
      </w:r>
      <w:r w:rsidRPr="007A7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383" w:rsidRPr="007A7383" w:rsidRDefault="007A7383" w:rsidP="007A73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83">
        <w:rPr>
          <w:rFonts w:ascii="Times New Roman" w:hAnsi="Times New Roman" w:cs="Times New Roman"/>
          <w:b/>
          <w:sz w:val="24"/>
          <w:szCs w:val="24"/>
        </w:rPr>
        <w:t>Barney Beins (Ithaca College)</w:t>
      </w:r>
    </w:p>
    <w:p w:rsidR="007A7383" w:rsidRPr="007A7383" w:rsidRDefault="007A7383" w:rsidP="007A73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83">
        <w:rPr>
          <w:rFonts w:ascii="Times New Roman" w:hAnsi="Times New Roman" w:cs="Times New Roman"/>
          <w:b/>
          <w:sz w:val="24"/>
          <w:szCs w:val="24"/>
        </w:rPr>
        <w:t>The Confe</w:t>
      </w:r>
      <w:r w:rsidRPr="007A7383">
        <w:rPr>
          <w:rFonts w:ascii="Times New Roman" w:hAnsi="Times New Roman" w:cs="Times New Roman"/>
          <w:b/>
          <w:sz w:val="24"/>
          <w:szCs w:val="24"/>
        </w:rPr>
        <w:t>rence on Writing in Psychology</w:t>
      </w:r>
    </w:p>
    <w:p w:rsidR="007A7383" w:rsidRPr="007A7383" w:rsidRDefault="007A7383" w:rsidP="007A73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83">
        <w:rPr>
          <w:rFonts w:ascii="Times New Roman" w:hAnsi="Times New Roman" w:cs="Times New Roman"/>
          <w:b/>
          <w:sz w:val="24"/>
          <w:szCs w:val="24"/>
        </w:rPr>
        <w:t>Stevenson University</w:t>
      </w:r>
    </w:p>
    <w:p w:rsidR="007A7383" w:rsidRPr="007A7383" w:rsidRDefault="007A7383" w:rsidP="007A73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83">
        <w:rPr>
          <w:rFonts w:ascii="Times New Roman" w:hAnsi="Times New Roman" w:cs="Times New Roman"/>
          <w:b/>
          <w:sz w:val="24"/>
          <w:szCs w:val="24"/>
        </w:rPr>
        <w:t>March 31, 2017</w:t>
      </w:r>
      <w:bookmarkStart w:id="0" w:name="_GoBack"/>
      <w:bookmarkEnd w:id="0"/>
    </w:p>
    <w:p w:rsidR="007A7383" w:rsidRPr="007A7383" w:rsidRDefault="007A7383" w:rsidP="008966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6FF" w:rsidRPr="008966FF" w:rsidRDefault="008966FF" w:rsidP="008966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FF">
        <w:rPr>
          <w:rFonts w:ascii="Times New Roman" w:hAnsi="Times New Roman" w:cs="Times New Roman"/>
          <w:b/>
          <w:sz w:val="24"/>
          <w:szCs w:val="24"/>
        </w:rPr>
        <w:t>Different constructions highlight different aspects of the topic.</w:t>
      </w:r>
    </w:p>
    <w:p w:rsidR="008966FF" w:rsidRDefault="008966FF" w:rsidP="008966F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66FF" w:rsidRDefault="008966FF" w:rsidP="008966F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quotation (Hyde, 2005): “In an important experiment,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Prentice (1994) demonstrated the importance of gender roles and social context in creating or erasing the purportedly robust gender differences in aggression” (p. 588).</w:t>
      </w:r>
    </w:p>
    <w:p w:rsidR="008966FF" w:rsidRDefault="008966FF" w:rsidP="008966F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66FF" w:rsidRDefault="008966FF" w:rsidP="00896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6C">
        <w:rPr>
          <w:rFonts w:ascii="Times New Roman" w:hAnsi="Times New Roman" w:cs="Times New Roman"/>
          <w:b/>
          <w:sz w:val="24"/>
          <w:szCs w:val="24"/>
        </w:rPr>
        <w:t>Surprisingly</w:t>
      </w:r>
      <w:r>
        <w:rPr>
          <w:rFonts w:ascii="Times New Roman" w:hAnsi="Times New Roman" w:cs="Times New Roman"/>
          <w:sz w:val="24"/>
          <w:szCs w:val="24"/>
        </w:rPr>
        <w:t xml:space="preserve">, the purportedly </w:t>
      </w:r>
      <w:r w:rsidRPr="00BA726C">
        <w:rPr>
          <w:rFonts w:ascii="Times New Roman" w:hAnsi="Times New Roman" w:cs="Times New Roman"/>
          <w:sz w:val="24"/>
          <w:szCs w:val="24"/>
        </w:rPr>
        <w:t>robust gender differences</w:t>
      </w:r>
      <w:r>
        <w:rPr>
          <w:rFonts w:ascii="Times New Roman" w:hAnsi="Times New Roman" w:cs="Times New Roman"/>
          <w:sz w:val="24"/>
          <w:szCs w:val="24"/>
        </w:rPr>
        <w:t xml:space="preserve"> in aggression can be created or erased in different social contexts, according to an important experiment by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Prentice (1994) [Unexpectedness of results; emphasis on the role of researchers]</w:t>
      </w:r>
    </w:p>
    <w:p w:rsidR="008966FF" w:rsidRDefault="008966FF" w:rsidP="00896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6C">
        <w:rPr>
          <w:rFonts w:ascii="Times New Roman" w:hAnsi="Times New Roman" w:cs="Times New Roman"/>
          <w:b/>
          <w:sz w:val="24"/>
          <w:szCs w:val="24"/>
        </w:rPr>
        <w:t>Social context</w:t>
      </w:r>
      <w:r>
        <w:rPr>
          <w:rFonts w:ascii="Times New Roman" w:hAnsi="Times New Roman" w:cs="Times New Roman"/>
          <w:sz w:val="24"/>
          <w:szCs w:val="24"/>
        </w:rPr>
        <w:t xml:space="preserve"> is an important factor in determining levels of aggression for both men and women (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Prentice, 1994) [Downplay the researchers; neutral tone]</w:t>
      </w:r>
    </w:p>
    <w:p w:rsidR="008966FF" w:rsidRDefault="008966FF" w:rsidP="00896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A726C">
        <w:rPr>
          <w:rFonts w:ascii="Times New Roman" w:hAnsi="Times New Roman" w:cs="Times New Roman"/>
          <w:b/>
          <w:sz w:val="24"/>
          <w:szCs w:val="24"/>
        </w:rPr>
        <w:t>purportedly robust gender differences</w:t>
      </w:r>
      <w:r>
        <w:rPr>
          <w:rFonts w:ascii="Times New Roman" w:hAnsi="Times New Roman" w:cs="Times New Roman"/>
          <w:sz w:val="24"/>
          <w:szCs w:val="24"/>
        </w:rPr>
        <w:t xml:space="preserve"> in aggression </w:t>
      </w:r>
      <w:r w:rsidRPr="008966FF">
        <w:rPr>
          <w:rFonts w:ascii="Times New Roman" w:hAnsi="Times New Roman" w:cs="Times New Roman"/>
          <w:b/>
          <w:sz w:val="24"/>
          <w:szCs w:val="24"/>
        </w:rPr>
        <w:t>need to be analyzed</w:t>
      </w:r>
      <w:r>
        <w:rPr>
          <w:rFonts w:ascii="Times New Roman" w:hAnsi="Times New Roman" w:cs="Times New Roman"/>
          <w:sz w:val="24"/>
          <w:szCs w:val="24"/>
        </w:rPr>
        <w:t xml:space="preserve"> within their social context, as shown by L &amp; P (1994). [Persuasive tone]</w:t>
      </w:r>
    </w:p>
    <w:p w:rsidR="008966FF" w:rsidRDefault="008966FF" w:rsidP="00896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6C">
        <w:rPr>
          <w:rFonts w:ascii="Times New Roman" w:hAnsi="Times New Roman" w:cs="Times New Roman"/>
          <w:b/>
          <w:sz w:val="24"/>
          <w:szCs w:val="24"/>
        </w:rPr>
        <w:t>Although</w:t>
      </w:r>
      <w:r>
        <w:rPr>
          <w:rFonts w:ascii="Times New Roman" w:hAnsi="Times New Roman" w:cs="Times New Roman"/>
          <w:sz w:val="24"/>
          <w:szCs w:val="24"/>
        </w:rPr>
        <w:t xml:space="preserve"> one may believe that gender differences are </w:t>
      </w:r>
      <w:r w:rsidRPr="00BA726C">
        <w:rPr>
          <w:rFonts w:ascii="Times New Roman" w:hAnsi="Times New Roman" w:cs="Times New Roman"/>
          <w:sz w:val="24"/>
          <w:szCs w:val="24"/>
        </w:rPr>
        <w:t>innate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Prentice’s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D24">
        <w:rPr>
          <w:rFonts w:ascii="Times New Roman" w:hAnsi="Times New Roman" w:cs="Times New Roman"/>
          <w:sz w:val="24"/>
          <w:szCs w:val="24"/>
        </w:rPr>
        <w:t xml:space="preserve">(1974) </w:t>
      </w:r>
      <w:r>
        <w:rPr>
          <w:rFonts w:ascii="Times New Roman" w:hAnsi="Times New Roman" w:cs="Times New Roman"/>
          <w:sz w:val="24"/>
          <w:szCs w:val="24"/>
        </w:rPr>
        <w:t>research demonstrates the importance of gender roles and social context in creating or erasing the purportedly robust gender differences in aggression. [Contrast]</w:t>
      </w:r>
    </w:p>
    <w:p w:rsidR="008966FF" w:rsidRPr="00721C24" w:rsidRDefault="008966FF" w:rsidP="00896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by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Prentice (1994) has shown that </w:t>
      </w:r>
      <w:r w:rsidRPr="00BA726C">
        <w:rPr>
          <w:rFonts w:ascii="Times New Roman" w:hAnsi="Times New Roman" w:cs="Times New Roman"/>
          <w:b/>
          <w:sz w:val="24"/>
          <w:szCs w:val="24"/>
        </w:rPr>
        <w:t>levels of aggression</w:t>
      </w:r>
      <w:r>
        <w:rPr>
          <w:rFonts w:ascii="Times New Roman" w:hAnsi="Times New Roman" w:cs="Times New Roman"/>
          <w:sz w:val="24"/>
          <w:szCs w:val="24"/>
        </w:rPr>
        <w:t>, generally thought to be higher in males, are affected by social context as well as biology. [Emphasize role of researchers]</w:t>
      </w:r>
    </w:p>
    <w:p w:rsidR="000F74EF" w:rsidRDefault="000F74EF"/>
    <w:sectPr w:rsidR="000F7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52144"/>
    <w:multiLevelType w:val="hybridMultilevel"/>
    <w:tmpl w:val="F8F8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FF"/>
    <w:rsid w:val="00080D24"/>
    <w:rsid w:val="000F74EF"/>
    <w:rsid w:val="007A7383"/>
    <w:rsid w:val="008966FF"/>
    <w:rsid w:val="00D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BE4C2-316B-46FE-BBB3-68B9EBB4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1323</Characters>
  <Application>Microsoft Office Word</Application>
  <DocSecurity>0</DocSecurity>
  <Lines>11</Lines>
  <Paragraphs>3</Paragraphs>
  <ScaleCrop>false</ScaleCrop>
  <Company>Ithaca College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Beins</dc:creator>
  <cp:keywords/>
  <dc:description/>
  <cp:lastModifiedBy>Bernard Beins</cp:lastModifiedBy>
  <cp:revision>3</cp:revision>
  <dcterms:created xsi:type="dcterms:W3CDTF">2017-03-22T16:39:00Z</dcterms:created>
  <dcterms:modified xsi:type="dcterms:W3CDTF">2017-03-23T15:52:00Z</dcterms:modified>
</cp:coreProperties>
</file>